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86B0" w14:textId="77777777" w:rsidR="00F13AC8" w:rsidRDefault="00F13AC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24CE6F4" w14:textId="77777777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7B44F062" w14:textId="6B964906" w:rsidR="005153B7" w:rsidRPr="00347D40" w:rsidRDefault="00C2339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Արաքս</w:t>
      </w:r>
      <w:r w:rsidR="00B979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2BBAF216" w:rsidR="005153B7" w:rsidRPr="00347D40" w:rsidRDefault="00C2339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«15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szCs w:val="20"/>
          <w:lang w:val="hy-AM"/>
        </w:rPr>
        <w:t>փետրվարի 2024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4F7EC868" w14:textId="3DE5F130" w:rsidR="005153B7" w:rsidRPr="00347D40" w:rsidRDefault="00F13AC8" w:rsidP="001B6353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N-</w:t>
      </w:r>
      <w:r w:rsidR="004230BB">
        <w:rPr>
          <w:rFonts w:ascii="GHEA Grapalat" w:hAnsi="GHEA Grapalat" w:cs="Sylfaen"/>
          <w:sz w:val="20"/>
          <w:szCs w:val="20"/>
          <w:lang w:val="hy-AM"/>
        </w:rPr>
        <w:t>Լ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0BACCFD5" w:rsidR="005153B7" w:rsidRPr="00347D40" w:rsidRDefault="00C23398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ԱՐԱՔՍ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1B6353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14:paraId="169ED48F" w14:textId="75A9A4F2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C23398">
        <w:rPr>
          <w:rFonts w:ascii="GHEA Grapalat" w:hAnsi="GHEA Grapalat"/>
          <w:sz w:val="24"/>
          <w:szCs w:val="24"/>
          <w:lang w:val="hy-AM"/>
        </w:rPr>
        <w:t>Արաքս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77B1FFA0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678ADE35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64225F76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148304E8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A529F9A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7194C0C8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3E9B944A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03671FA" w14:textId="2AA14162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B30BB37" w14:textId="0408FF75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10EB8526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2180D250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784401FD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302FEBF9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4737F44F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77777777" w:rsidR="00ED65C1" w:rsidRPr="00ED65C1" w:rsidRDefault="00260E9A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D92ABEF" w14:textId="0EB4A635" w:rsidR="005153B7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Default="005153B7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BBEE214" w:rsidR="00ED65C1" w:rsidRPr="00801AFA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3B98A99C" w:rsidR="00801AFA" w:rsidRPr="00801AFA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1470F9" w:rsidRDefault="00ED65C1" w:rsidP="001470F9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5FE53664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7589E4B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183B169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E0D9E1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A735D0C" w14:textId="4EF32FA3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6C574B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5B5AC165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20591ED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14:paraId="16006E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299FDDA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1CF2DFA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06A1086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F975A6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2C745792" w14:textId="54B7707C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0650455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99E14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5F64ADB2" w14:textId="3BDE7AF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3468742F" w14:textId="531A558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263E05D8" w14:textId="2B2EA12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0985462A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08AD0CB2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77777777" w:rsidR="005153B7" w:rsidRPr="00595BC1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1D264A87" w:rsidR="00595BC1" w:rsidRPr="00595BC1" w:rsidRDefault="00595BC1" w:rsidP="00C10C82">
      <w:pPr>
        <w:spacing w:line="360" w:lineRule="auto"/>
        <w:ind w:left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bookmarkStart w:id="0" w:name="_GoBack"/>
      <w:bookmarkEnd w:id="0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C10C82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Արմավիրի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C10C82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Արաքս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2253"/>
        <w:gridCol w:w="3553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lastRenderedPageBreak/>
              <w:t>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  <w:proofErr w:type="spellEnd"/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lastRenderedPageBreak/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595BC1" w:rsidRPr="00C23398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14:paraId="2DCCCB8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14:paraId="2F7FB5F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proofErr w:type="spellEnd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8FA3A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45BAF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lastRenderedPageBreak/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083CD85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595BC1" w:rsidRDefault="00595BC1" w:rsidP="00435E0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2F2317E" w14:textId="77777777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33FC2003" w14:textId="77777777" w:rsidR="003024B2" w:rsidRPr="009D0A52" w:rsidRDefault="003024B2">
      <w:pPr>
        <w:rPr>
          <w:lang w:val="hy-AM"/>
        </w:rPr>
      </w:pPr>
    </w:p>
    <w:sectPr w:rsidR="003024B2" w:rsidRPr="009D0A52" w:rsidSect="00154A8E">
      <w:footerReference w:type="default" r:id="rId8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A0B47" w14:textId="77777777" w:rsidR="009F342F" w:rsidRDefault="009F342F">
      <w:pPr>
        <w:spacing w:after="0" w:line="240" w:lineRule="auto"/>
      </w:pPr>
      <w:r>
        <w:separator/>
      </w:r>
    </w:p>
  </w:endnote>
  <w:endnote w:type="continuationSeparator" w:id="0">
    <w:p w14:paraId="13A261BD" w14:textId="77777777" w:rsidR="009F342F" w:rsidRDefault="009F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46DD2" w14:textId="77777777" w:rsidR="009F342F" w:rsidRDefault="009F342F">
      <w:pPr>
        <w:spacing w:after="0" w:line="240" w:lineRule="auto"/>
      </w:pPr>
      <w:r>
        <w:separator/>
      </w:r>
    </w:p>
  </w:footnote>
  <w:footnote w:type="continuationSeparator" w:id="0">
    <w:p w14:paraId="313C0FED" w14:textId="77777777" w:rsidR="009F342F" w:rsidRDefault="009F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37BD0"/>
    <w:rsid w:val="00140FAA"/>
    <w:rsid w:val="001470F9"/>
    <w:rsid w:val="001A2857"/>
    <w:rsid w:val="001B2F64"/>
    <w:rsid w:val="001B5FFE"/>
    <w:rsid w:val="001B6353"/>
    <w:rsid w:val="00237818"/>
    <w:rsid w:val="00240733"/>
    <w:rsid w:val="00257020"/>
    <w:rsid w:val="00260E9A"/>
    <w:rsid w:val="002E11CD"/>
    <w:rsid w:val="002F4F7E"/>
    <w:rsid w:val="002F7B4A"/>
    <w:rsid w:val="003024B2"/>
    <w:rsid w:val="003E2363"/>
    <w:rsid w:val="004230BB"/>
    <w:rsid w:val="00493D5B"/>
    <w:rsid w:val="005153B7"/>
    <w:rsid w:val="0056391C"/>
    <w:rsid w:val="00591B1A"/>
    <w:rsid w:val="00595BC1"/>
    <w:rsid w:val="005A23C7"/>
    <w:rsid w:val="0062262A"/>
    <w:rsid w:val="006549B4"/>
    <w:rsid w:val="007C53F9"/>
    <w:rsid w:val="007E47D0"/>
    <w:rsid w:val="00801AFA"/>
    <w:rsid w:val="00830829"/>
    <w:rsid w:val="008418D5"/>
    <w:rsid w:val="00853078"/>
    <w:rsid w:val="00854A00"/>
    <w:rsid w:val="008836E0"/>
    <w:rsid w:val="009838A3"/>
    <w:rsid w:val="009D0A52"/>
    <w:rsid w:val="009F13E2"/>
    <w:rsid w:val="009F342F"/>
    <w:rsid w:val="009F6EA0"/>
    <w:rsid w:val="00A02B22"/>
    <w:rsid w:val="00A903D1"/>
    <w:rsid w:val="00AB6D45"/>
    <w:rsid w:val="00B97905"/>
    <w:rsid w:val="00BB1CCA"/>
    <w:rsid w:val="00BB4964"/>
    <w:rsid w:val="00C10C82"/>
    <w:rsid w:val="00C23398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D65C1"/>
    <w:rsid w:val="00EE791D"/>
    <w:rsid w:val="00F13AC8"/>
    <w:rsid w:val="00F313D0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https://mul2-armavir.gov.am/tasks/319063/oneclick/62969fa34582cea7b8192b86ed516200954f6f63e775d1ae426a07d12d524c35.docx?token=6feba11849fb422bdc5fe28f7cc8d1bb</cp:keywords>
  <dc:description/>
  <cp:lastModifiedBy>Admin</cp:lastModifiedBy>
  <cp:revision>5</cp:revision>
  <dcterms:created xsi:type="dcterms:W3CDTF">2024-02-14T08:56:00Z</dcterms:created>
  <dcterms:modified xsi:type="dcterms:W3CDTF">2024-02-14T11:06:00Z</dcterms:modified>
</cp:coreProperties>
</file>