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DE549" w14:textId="77777777" w:rsidR="0040449A" w:rsidRDefault="0040449A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Հավելված 1</w:t>
      </w:r>
    </w:p>
    <w:p w14:paraId="3A41F178" w14:textId="137BE5A8" w:rsidR="0040449A" w:rsidRDefault="0040449A" w:rsidP="0040449A">
      <w:pPr>
        <w:shd w:val="clear" w:color="auto" w:fill="FFFFFF"/>
        <w:spacing w:after="0" w:line="240" w:lineRule="auto"/>
        <w:jc w:val="right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ՀՀ Արմավիրի մարզի 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Արաքս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համայնքի 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br/>
        <w:t>ավագանու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2024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թվականի 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5271FB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հոկտեմբերի 17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-ի</w:t>
      </w:r>
      <w:r w:rsidR="00500B0E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br/>
        <w:t xml:space="preserve"> N   </w:t>
      </w:r>
      <w:r w:rsidR="005271FB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140</w:t>
      </w:r>
      <w:bookmarkStart w:id="0" w:name="_GoBack"/>
      <w:bookmarkEnd w:id="0"/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-Ն որոշման</w:t>
      </w:r>
    </w:p>
    <w:p w14:paraId="0ED95B2B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</w:pPr>
    </w:p>
    <w:p w14:paraId="438B3A8A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4F51A9A2" w14:textId="77777777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hAnsi="GHEA Grapalat"/>
          <w:b/>
          <w:bCs/>
          <w:i/>
          <w:iCs/>
          <w:sz w:val="21"/>
          <w:szCs w:val="21"/>
          <w:shd w:val="clear" w:color="auto" w:fill="FFFFFF"/>
          <w:lang w:val="hy-AM"/>
        </w:rPr>
      </w:pPr>
    </w:p>
    <w:p w14:paraId="0AE57C1A" w14:textId="7FBE4E16" w:rsidR="0040449A" w:rsidRDefault="0040449A" w:rsidP="0040449A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</w:pP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ՀԱՅԱՍՏԱՆԻ ՀԱՆՐԱՊԵՏՈՒԹՅԱՆ ԱՐՄԱՎԻՐԻ ՄԱՐԶԻ </w:t>
      </w:r>
      <w:r w:rsidR="00C81F84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ԱՐԱՔՍ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 ՀԱՄԱՅՆՔ</w:t>
      </w:r>
      <w:r w:rsidR="0055005D"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>Ի ՎԱՐՉԱԿԱՆ ՏԱՐԱԾՔՈՒՄ 2025 ԹՎԱԿԱՆԻ ՀԱՄԱՐ</w:t>
      </w:r>
      <w:r>
        <w:rPr>
          <w:rFonts w:ascii="GHEA Grapalat" w:hAnsi="GHEA Grapalat"/>
          <w:b/>
          <w:bCs/>
          <w:sz w:val="21"/>
          <w:szCs w:val="21"/>
          <w:shd w:val="clear" w:color="auto" w:fill="FFFFFF"/>
          <w:lang w:val="hy-AM"/>
        </w:rPr>
        <w:t xml:space="preserve"> ՏԵՂԱԿԱՆ ՏՈՒՐՔԵՐԻ ԴՐՈՒՅՔԱՉԱՓԵՐԸ </w:t>
      </w:r>
    </w:p>
    <w:p w14:paraId="68983FD7" w14:textId="647FFE40" w:rsidR="0040449A" w:rsidRDefault="0040449A" w:rsidP="0040449A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93B52B5" w14:textId="4C14C997" w:rsidR="00B05847" w:rsidRPr="00B05847" w:rsidRDefault="00B05847" w:rsidP="0040449A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Արմավիրի մարզի Արաքս համայնքում սահմանվում են տեղական տուրքերի հետևյալ դրույքաչափերը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14:paraId="33D6061B" w14:textId="26B8DD7F" w:rsidR="0040449A" w:rsidRPr="00A0382D" w:rsidRDefault="00587574" w:rsidP="00587574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 xml:space="preserve">․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Հայաստանի Հանրապետության օրենսդրությանբ սահմանված կարգով հաստատված ճարտարապետաշինարարական նախագծին համապատասխան՝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չպահանջվող դեպքերի) թույլտվության համար.</w:t>
      </w:r>
    </w:p>
    <w:p w14:paraId="34B4FBF9" w14:textId="5D881079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շենքերի և շինությունների համար՝</w:t>
      </w:r>
    </w:p>
    <w:p w14:paraId="1E3341D9" w14:textId="26748E29" w:rsidR="005C62B5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AC7FE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մինչև 300 քառակուսի մետր ընդհանուր մակերես ունեցող անհատական բնակելի, այդ թվում՝ այգեգործական (ամառանոցային) տների համար՝ </w:t>
      </w:r>
      <w:r w:rsidR="00C81F84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C577B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Cambria Math" w:eastAsia="MS Mincho" w:hAnsi="Cambria Math" w:cs="Cambria Math"/>
          <w:sz w:val="24"/>
          <w:szCs w:val="24"/>
          <w:lang w:val="hy-AM" w:eastAsia="ru-RU"/>
        </w:rPr>
        <w:t>,</w:t>
      </w:r>
      <w:r w:rsidR="008204F7" w:rsidRPr="00A0382D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14:paraId="2F71D2C3" w14:textId="72A12787" w:rsidR="005C62B5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մինչև 200 քառակուսի մետր ընդհանուր մակերես ունեցող հասարակական և արտադրական նշանակության շենքերի և շինությունների համար՝ </w:t>
      </w:r>
      <w:r w:rsidR="00C81F84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 դրա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մ,</w:t>
      </w:r>
    </w:p>
    <w:p w14:paraId="3CAF4DC5" w14:textId="7CCB8340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սույն </w:t>
      </w:r>
      <w:r w:rsidR="0055005D" w:rsidRPr="00A0382D">
        <w:rPr>
          <w:rFonts w:ascii="GHEA Grapalat" w:hAnsi="GHEA Grapalat"/>
          <w:bCs/>
          <w:sz w:val="24"/>
          <w:szCs w:val="24"/>
          <w:lang w:val="hy-AM"/>
        </w:rPr>
        <w:t>կետի</w:t>
      </w:r>
      <w:r w:rsidR="00DC5B3D" w:rsidRPr="00A0382D">
        <w:rPr>
          <w:rFonts w:ascii="GHEA Grapalat" w:hAnsi="GHEA Grapalat"/>
          <w:bCs/>
          <w:sz w:val="24"/>
          <w:szCs w:val="24"/>
          <w:lang w:val="hy-AM"/>
        </w:rPr>
        <w:t xml:space="preserve"> 1-ին ենթակետի</w:t>
      </w:r>
      <w:r w:rsidR="00AC7FE3" w:rsidRPr="00A0382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AC7FE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«ա»</w:t>
      </w:r>
      <w:r w:rsidR="00E31F3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«բ» </w:t>
      </w:r>
      <w:r w:rsidR="0055005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պարբերությ</w:t>
      </w:r>
      <w:r w:rsidR="00DC5B3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ուններով</w:t>
      </w:r>
      <w:r w:rsidR="00E31F3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չնախատեսված և Կառավարության սահմանած ցանկում ընդգրկված՝ սահմանամերձ բնակավայրերից տարբերվող բնակավայրերի տարածքում կառուցվող շենքերի և շինությունների (այդ թվում՝ հասարակական և արտադրական նշանակության շենքերի և շինությունների) համար`</w:t>
      </w:r>
    </w:p>
    <w:p w14:paraId="2C474A9F" w14:textId="66DB880B" w:rsidR="0040449A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200–ից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500 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մետր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ընդհանուր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մակերես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ունեցող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շենքերի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և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շինությունների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համար՝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81F84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 դրամ</w:t>
      </w:r>
      <w:r w:rsidR="00E31F3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համապատասխանող՝</w:t>
      </w: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կետով սահմանված գոտիականության գործակցի արտադրյալը</w:t>
      </w:r>
      <w:r w:rsidR="00541334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46067740" w14:textId="672FEA76" w:rsidR="0040449A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501–ից մինչև 1000 քառակուսի մետր ընդհանուր մակերես ունեցող շենքերի և շինությունների համար՝ </w:t>
      </w:r>
      <w:r w:rsidR="00865D6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մեկ հարյուր </w:t>
      </w:r>
      <w:r w:rsidR="00447A5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A0382D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14:paraId="61CF16F4" w14:textId="77777777" w:rsidR="00541334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1001–ից մինչև 3000 քառակուսի մետր ընդհանուր մակերես ունեցող շենքերի և շինությունների համար՝ </w:t>
      </w:r>
      <w:r w:rsidR="00865D6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հարյուր</w:t>
      </w:r>
      <w:r w:rsidR="00447A5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5446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շենքի 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(շինության) կառուցման վայրի գոտիականությանը համապատասխանող՝ 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45446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 գոտիականության գործակցի արտադրյալը</w:t>
      </w:r>
      <w:r w:rsidR="00541334" w:rsidRPr="00A0382D">
        <w:rPr>
          <w:rFonts w:ascii="GHEA Grapalat" w:eastAsia="MS Mincho" w:hAnsi="GHEA Grapalat" w:cs="MS Mincho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4F819052" w14:textId="75FB8A8D" w:rsidR="006D7901" w:rsidRPr="00A0382D" w:rsidRDefault="00DC5B3D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1"/>
          <w:szCs w:val="21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դ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3001–ից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 մետր ընդհանուր մակերես ունեցող շեն</w:t>
      </w:r>
      <w:r w:rsidR="00447A5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քերի և շինությունների համար՝ </w:t>
      </w:r>
      <w:r w:rsidR="00447A5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5446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="0045446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և </w:t>
      </w:r>
      <w:r w:rsidR="006D79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3000 քառակուսի մետրը գերազանցող մինչև յուրաքանչյուր 3000 քառակուսի մետրի համար </w:t>
      </w:r>
      <w:r w:rsidR="006D7901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մեկ միլիոն դրամի</w:t>
      </w:r>
      <w:r w:rsidR="006D79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հանրագումարի ու սույն </w:t>
      </w:r>
      <w:r w:rsidR="003D2BC0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ենթակետով</w:t>
      </w:r>
      <w:r w:rsidR="006D79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սահմանված՝ շենքի (շինության) կառուցման վայրի գոտիականությանը համապատասխանող գոտիականության գործակցի արտադրյալը</w:t>
      </w:r>
      <w:r w:rsid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388A87B6" w14:textId="52607A13" w:rsidR="00BD43DD" w:rsidRPr="00A0382D" w:rsidRDefault="00447A53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 </w:t>
      </w:r>
      <w:r w:rsidR="00D53A16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</w:t>
      </w:r>
      <w:r w:rsidR="00D53A16" w:rsidRPr="00A0382D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D53A16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</w:t>
      </w:r>
      <w:r w:rsidR="00BD43DD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ույն  </w:t>
      </w:r>
      <w:r w:rsidR="0055005D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կետի</w:t>
      </w:r>
      <w:r w:rsidR="00BD43DD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համաձայն՝ շենքերի և շինությունների շինարարության թույլտվության համար տեղական տուրքի դրույքաչափի հաշվարկման նպատակով հիմք ընդունել Կառավարության որոշմամբ սահմանված՝ շինությունների տարածագնահատման գոտիականությանը համապատասխանող հետևյալ գործակիցները</w:t>
      </w:r>
      <w:r w:rsidR="00541334" w:rsidRPr="00A0382D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BD43DD" w:rsidRPr="00A0382D" w14:paraId="437FE20E" w14:textId="77777777" w:rsidTr="00BD43DD">
        <w:tc>
          <w:tcPr>
            <w:tcW w:w="3226" w:type="dxa"/>
          </w:tcPr>
          <w:p w14:paraId="358521F7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Բնակավայրը </w:t>
            </w:r>
          </w:p>
        </w:tc>
        <w:tc>
          <w:tcPr>
            <w:tcW w:w="3226" w:type="dxa"/>
          </w:tcPr>
          <w:p w14:paraId="4F74DA32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</w:t>
            </w:r>
          </w:p>
        </w:tc>
        <w:tc>
          <w:tcPr>
            <w:tcW w:w="3227" w:type="dxa"/>
          </w:tcPr>
          <w:p w14:paraId="50E3855B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Գոտիականության գործակից</w:t>
            </w:r>
          </w:p>
        </w:tc>
      </w:tr>
      <w:tr w:rsidR="00BD43DD" w:rsidRPr="00A0382D" w14:paraId="34607517" w14:textId="77777777" w:rsidTr="00BD43DD">
        <w:tc>
          <w:tcPr>
            <w:tcW w:w="3226" w:type="dxa"/>
          </w:tcPr>
          <w:p w14:paraId="1C0FFF71" w14:textId="77777777" w:rsidR="00BD43DD" w:rsidRPr="00A0382D" w:rsidRDefault="00447A53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 xml:space="preserve">Արաքս, </w:t>
            </w:r>
            <w:r w:rsidR="00800082"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Արտիմետ, Ապագա,Ակնաշեն, Առատաշեն, Գայ, Գրիբոյեդով, Մեծամոր, Լուսագյուղ, Խորոնք, Ջրարբի, Ջրառատ, Հայկաշեն</w:t>
            </w:r>
          </w:p>
        </w:tc>
        <w:tc>
          <w:tcPr>
            <w:tcW w:w="3226" w:type="dxa"/>
          </w:tcPr>
          <w:p w14:paraId="2CC7490D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744A37A2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5E453FBB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1AAC8C5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FE4ED42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7C6EBF96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FB8C9B0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13</w:t>
            </w:r>
            <w:r w:rsidR="00800082"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-16</w:t>
            </w:r>
          </w:p>
        </w:tc>
        <w:tc>
          <w:tcPr>
            <w:tcW w:w="3227" w:type="dxa"/>
          </w:tcPr>
          <w:p w14:paraId="2F1E49DE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80496D3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231AF9F1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5CF34B7F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7CA422C5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FD6E564" w14:textId="77777777" w:rsidR="00A0044A" w:rsidRPr="00A0382D" w:rsidRDefault="00A0044A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</w:p>
          <w:p w14:paraId="322AF0B1" w14:textId="77777777" w:rsidR="00BD43DD" w:rsidRPr="00A0382D" w:rsidRDefault="00BD43DD" w:rsidP="00A0382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</w:pPr>
            <w:r w:rsidRPr="00A0382D">
              <w:rPr>
                <w:rFonts w:ascii="GHEA Grapalat" w:eastAsia="Times New Roman" w:hAnsi="GHEA Grapalat" w:cs="Times New Roman"/>
                <w:sz w:val="21"/>
                <w:szCs w:val="21"/>
                <w:lang w:val="hy-AM" w:eastAsia="ru-RU"/>
              </w:rPr>
              <w:t>2.0</w:t>
            </w:r>
          </w:p>
        </w:tc>
      </w:tr>
    </w:tbl>
    <w:p w14:paraId="7378D56F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7DA0FA9B" w14:textId="308DCEC6" w:rsidR="00A647C4" w:rsidRPr="00A0382D" w:rsidRDefault="0040449A" w:rsidP="00A0382D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  <w:lang w:val="hy-AM" w:eastAsia="en-US"/>
        </w:rPr>
      </w:pPr>
      <w:r w:rsidRPr="00A0382D">
        <w:rPr>
          <w:rFonts w:ascii="GHEA Grapalat" w:hAnsi="GHEA Grapalat"/>
          <w:lang w:val="hy-AM"/>
        </w:rPr>
        <w:t xml:space="preserve"> </w:t>
      </w:r>
      <w:r w:rsidR="00D53A16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>զ</w:t>
      </w:r>
      <w:r w:rsidR="00A647C4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. </w:t>
      </w:r>
      <w:r w:rsidR="00A647C4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սույն </w:t>
      </w:r>
      <w:r w:rsidR="00541334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հավելվածի 1-ին կետի 1-ին ենթակետի «ա» և «բ» </w:t>
      </w:r>
      <w:r w:rsidR="0055005D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>պարբերություն</w:t>
      </w:r>
      <w:r w:rsidR="00541334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>ներ</w:t>
      </w:r>
      <w:r w:rsidR="0055005D" w:rsidRPr="00B05847">
        <w:rPr>
          <w:rFonts w:ascii="GHEA Grapalat" w:hAnsi="GHEA Grapalat"/>
          <w:color w:val="000000"/>
          <w:sz w:val="23"/>
          <w:szCs w:val="23"/>
          <w:lang w:val="hy-AM" w:eastAsia="en-US"/>
        </w:rPr>
        <w:t>ով</w:t>
      </w:r>
      <w:r w:rsidR="00A647C4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 xml:space="preserve"> չնախատեսված և Կառավարության սահմանած ցանկում ընդգրկված` սահմանամերձ </w:t>
      </w:r>
      <w:r w:rsidR="00047EBF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>Արաքս բնակավայր</w:t>
      </w:r>
      <w:r w:rsidR="00A647C4" w:rsidRPr="00A0382D">
        <w:rPr>
          <w:rFonts w:ascii="GHEA Grapalat" w:hAnsi="GHEA Grapalat"/>
          <w:color w:val="000000"/>
          <w:sz w:val="23"/>
          <w:szCs w:val="23"/>
          <w:lang w:val="hy-AM" w:eastAsia="en-US"/>
        </w:rPr>
        <w:t>ի տարածքում կառուցվող շենքերի և շինությունների համար`</w:t>
      </w:r>
    </w:p>
    <w:p w14:paraId="23BB131B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- 200-ից 500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երեսուն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5AD8C3F4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- 501-ից 1000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հիսուն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48E25CFA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- 1001-ից 3000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հիսուն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2F15CDE5" w14:textId="77777777" w:rsidR="00A647C4" w:rsidRPr="00A0382D" w:rsidRDefault="00A647C4" w:rsidP="00A0382D">
      <w:pPr>
        <w:shd w:val="clear" w:color="auto" w:fill="FFFFFF"/>
        <w:spacing w:after="0" w:line="240" w:lineRule="auto"/>
        <w:ind w:right="150" w:firstLine="450"/>
        <w:jc w:val="both"/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 xml:space="preserve">- 3001 և ավելի քառակուսի մետր ընդհանուր մակերես ունեցող շենքերի և շինությունների համար` </w:t>
      </w:r>
      <w:r w:rsidRPr="00A0382D">
        <w:rPr>
          <w:rFonts w:ascii="GHEA Grapalat" w:eastAsia="Times New Roman" w:hAnsi="GHEA Grapalat" w:cs="Times New Roman"/>
          <w:b/>
          <w:color w:val="000000"/>
          <w:sz w:val="23"/>
          <w:szCs w:val="23"/>
          <w:lang w:val="hy-AM"/>
        </w:rPr>
        <w:t>հարյուր հազար դրամ</w:t>
      </w:r>
      <w:r w:rsidRPr="00A0382D">
        <w:rPr>
          <w:rFonts w:ascii="GHEA Grapalat" w:eastAsia="Times New Roman" w:hAnsi="GHEA Grapalat" w:cs="Times New Roman"/>
          <w:color w:val="000000"/>
          <w:sz w:val="23"/>
          <w:szCs w:val="23"/>
          <w:lang w:val="hy-AM"/>
        </w:rPr>
        <w:t>,</w:t>
      </w:r>
    </w:p>
    <w:p w14:paraId="72889352" w14:textId="3AE26286" w:rsidR="0040449A" w:rsidRPr="00A0382D" w:rsidRDefault="00A647C4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 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շենքերի և շինությունների համար՝</w:t>
      </w:r>
    </w:p>
    <w:p w14:paraId="7C88956A" w14:textId="4CE6555A" w:rsidR="00E14B01" w:rsidRPr="00A0382D" w:rsidRDefault="00A647C4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</w:t>
      </w:r>
      <w:r w:rsidR="00D53A16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20 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14B01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ի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B058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,</w:t>
      </w:r>
    </w:p>
    <w:p w14:paraId="1ED9019D" w14:textId="27051DE2" w:rsidR="00E14B01" w:rsidRPr="00A0382D" w:rsidRDefault="00A647C4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D53A16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D53A16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ընդհանուր մակերես ունեցող շենքերի և շինությունների համար՝ </w:t>
      </w:r>
      <w:r w:rsidR="00865D65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</w:t>
      </w:r>
      <w:r w:rsidR="00E14B01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դրամի</w:t>
      </w:r>
      <w:r w:rsidR="00E14B0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և </w:t>
      </w:r>
      <w:r w:rsidR="00B05847" w:rsidRPr="00B058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կետի 2-րդ ենթակետով</w:t>
      </w:r>
      <w:r w:rsidR="00B0584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14B0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սահմանված՝ շենքի </w:t>
      </w:r>
      <w:r w:rsidR="00E14B01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(շինության) կառուցման վայրի գոտիականությանը համապատասխանող գոտիականության գործակցի  արտադրյալը</w:t>
      </w:r>
      <w:r w:rsidR="00E91282">
        <w:rPr>
          <w:rFonts w:ascii="Cambria Math" w:eastAsia="MS Mincho" w:hAnsi="Cambria Math" w:cs="Cambria Math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061FB27D" w14:textId="77777777" w:rsidR="00E14B01" w:rsidRPr="00A0382D" w:rsidRDefault="00E14B01" w:rsidP="00A0382D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090F1FB5" w14:textId="7C08924E" w:rsidR="00D051CD" w:rsidRPr="00A0382D" w:rsidRDefault="00E33CC1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Pr="00E91282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D051CD" w:rsidRPr="00A0382D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օրենսդրությամբ սահմանված կարգով հաստատված ճարտարապետաշինարարական նախագծին համապատասխան`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համայնքի վարչական տարածքում նոր շենքերի և շինությունների շինարարության թույլտվության ժամկետների երկարաձգման յուրաքանչյուր տարվա (այդ թվում՝ ոչ ամբողջական) համար</w:t>
      </w:r>
      <w:r w:rsidR="00FA5440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440225F" w14:textId="19C5C245" w:rsidR="00D051CD" w:rsidRPr="00A0382D" w:rsidRDefault="00F132D4" w:rsidP="00A0382D">
      <w:pPr>
        <w:shd w:val="clear" w:color="auto" w:fill="FFFFFF"/>
        <w:spacing w:before="240"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="000C7999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այլ շենքերի և շինությունների (այդ թվում՝ հասարակական և արտադրական նշանակության շենքերի և շինությունների) շինարարության թույլտվության ժամկետների երկարաձգման յուրաքանչյուր տարվա (այդ թվում՝ ոչ ամբողջական) համար՝</w:t>
      </w:r>
    </w:p>
    <w:p w14:paraId="4B735227" w14:textId="77777777" w:rsidR="00D051CD" w:rsidRPr="00A0382D" w:rsidRDefault="00D051CD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14:paraId="2223927D" w14:textId="14DECDE5" w:rsidR="00D051C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200-ից 500 քառակուսի մետր ընդհանուր մակերես ունեցող շենքերի</w:t>
      </w:r>
      <w:r w:rsidR="00A647C4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շինությունների համար` </w:t>
      </w:r>
      <w:r w:rsidR="00A647C4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վաթսուն հազար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 xml:space="preserve">սույն հավելվածի 1-ին կետի 2-րդ </w:t>
      </w:r>
      <w:r w:rsidRPr="00E01841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ենթակետով</w:t>
      </w:r>
      <w:r w:rsidRPr="00E018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E0184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գոտիականության գործակցի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արտադրյալը,</w:t>
      </w:r>
    </w:p>
    <w:p w14:paraId="49B7839A" w14:textId="3BF28430" w:rsidR="00D051C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501-ից 1000 քառակուսի մետր ընդհանուր մակերես ունեցող շենքերի և շինություննե</w:t>
      </w:r>
      <w:r w:rsidR="00474B7C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րի համար` </w:t>
      </w:r>
      <w:r w:rsidR="00865D65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հարյուր</w:t>
      </w:r>
      <w:r w:rsidR="00474B7C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հազար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սույն հավելվածի 1-ին կետի 2-րդ ենթակետով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գոտի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ականության գործակցի արտադրյալը,</w:t>
      </w:r>
    </w:p>
    <w:p w14:paraId="20407BA5" w14:textId="12EDB5C0" w:rsidR="00CA076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1001-ից 3000 քառակուսի մետր ընդհանուր մակերես ունեցող շենքերի և շինությունն</w:t>
      </w:r>
      <w:r w:rsidR="00474B7C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երի համար՝ </w:t>
      </w:r>
      <w:r w:rsidR="00865D65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չորս հարյուր</w:t>
      </w:r>
      <w:r w:rsidR="00474B7C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հազար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շենքի կամ շինության (անհատական բնակելի տան) կառուցման վայրի գոտիականությանը համապատասխանող՝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սույն հավելվածի 1-ին կետի 2-րդ ենթակետով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 գոտ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արտադրյալը,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64D43478" w14:textId="159584FD" w:rsidR="00CA076D" w:rsidRPr="00A0382D" w:rsidRDefault="00D53A16" w:rsidP="00A0382D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</w:t>
      </w:r>
      <w:r w:rsidRPr="00A0382D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3001 և ավելի քառակուսի մետր ընդհանուր մակերես ունեցող շենքերի և շինությունների համար՝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3000 քառակուսի մետրը գերազանցող մինչև յուրաքանչյուր 3000 քառակուսի մետրի համար </w:t>
      </w:r>
      <w:r w:rsidR="00D051CD" w:rsidRPr="00A0382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երկու միլիոն դրամի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հանրագումարի ու </w:t>
      </w:r>
      <w:r w:rsidRPr="00A0382D">
        <w:rPr>
          <w:rFonts w:ascii="GHEA Grapalat" w:hAnsi="GHEA Grapalat"/>
          <w:color w:val="000000"/>
          <w:sz w:val="23"/>
          <w:szCs w:val="23"/>
          <w:shd w:val="clear" w:color="auto" w:fill="FFFFFF"/>
          <w:lang w:val="hy-AM"/>
        </w:rPr>
        <w:t>սույն հավելվածի 1-ին կետի 2-րդ ենթակետով</w:t>
      </w:r>
      <w:r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սահմանված՝ շենքի կամ շինության (անհատական բնակելի տան) կառուցման վայրի գոտիականությանը համապատասխանող գոտ</w:t>
      </w:r>
      <w:r w:rsid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իականության գործակցի արտադրյալը։</w:t>
      </w:r>
      <w:r w:rsidR="00D051CD" w:rsidRPr="00A0382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3BEDBD08" w14:textId="77777777" w:rsidR="00E14B01" w:rsidRPr="00A0382D" w:rsidRDefault="00E14B01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</w:p>
    <w:p w14:paraId="2A79A2CA" w14:textId="403E30BE" w:rsidR="0040449A" w:rsidRPr="00A0382D" w:rsidRDefault="00FA5440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A2538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2538C" w:rsidRPr="00E91282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431CD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31CD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նախագծով՝</w:t>
      </w:r>
    </w:p>
    <w:p w14:paraId="1766F2C8" w14:textId="53F26E9D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MS Mincho" w:hAnsi="GHEA Grapalat" w:cs="MS Mincho"/>
          <w:sz w:val="21"/>
          <w:szCs w:val="21"/>
          <w:lang w:val="hy-AM" w:eastAsia="ru-RU"/>
        </w:rPr>
      </w:pPr>
      <w:r w:rsidRPr="00E91282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չի նախատեսվում կցակառույցների, վերնակառույցների, շենքի գաբարիտային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փոփոխություն՝ </w:t>
      </w:r>
      <w:r w:rsidR="00474B7C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Cambria Math" w:eastAsia="MS Mincho" w:hAnsi="Cambria Math" w:cs="Cambria Math"/>
          <w:sz w:val="24"/>
          <w:szCs w:val="24"/>
          <w:lang w:val="hy-AM" w:eastAsia="ru-RU"/>
        </w:rPr>
        <w:t>,</w:t>
      </w:r>
    </w:p>
    <w:p w14:paraId="637C9C80" w14:textId="0856E8B0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</w:t>
      </w:r>
      <w:r w:rsidR="00A2538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բացի շենքերի և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 այդ թվում՝ ստորգետնյա) հետևանքով օբյեկտի ընդհանուր մակերեսի ավելացում կամ շենքերի գործառական նշանակության փոփոխո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ւթյուն, և, բացի սույն </w:t>
      </w:r>
      <w:r w:rsidR="001541DB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 3-րդ կետի 1-ին ենթակետով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դրույքաչափից, կիրառվում են նաև նոր շինարարության 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սույն </w:t>
      </w:r>
      <w:r w:rsidR="00BA504F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հավելվածի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կետով սահմանված նորմերը և դրույքաչափերը՝ շենքերի և շինությունների ընդհանուր մակերեսի ավելացման կամ շենքերի գործառական նշանակության փոփոխության մասով,</w:t>
      </w:r>
    </w:p>
    <w:p w14:paraId="3E8CBD08" w14:textId="30D4EDCA" w:rsidR="0040449A" w:rsidRPr="00A0382D" w:rsidRDefault="00431CD7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   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3)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նախատեսվում է միայն կցակառույցների,</w:t>
      </w:r>
      <w:r w:rsidR="00E018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վերնակառույցների, շենքի  գաբարիտային չափերն ընդլայնող այլ կառույցների ( այդ թվում՝ ստորգետնյա) շինարարության կամ շենքերի գործառական նշանակության փոփոխությում, ապա, սույն որոշման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իմաստով, այն համարվում է նոր շինարարություն, որի նկատմամբ կիրառվում են նոր շինարարության համար սույն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հավելվածի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1-ին </w:t>
      </w:r>
      <w:r w:rsidR="00E0184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կետով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հմանված նորմերը և դրույքաչափերը։</w:t>
      </w:r>
    </w:p>
    <w:p w14:paraId="383CB047" w14:textId="3975E2F0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A2538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4.</w:t>
      </w:r>
      <w:r w:rsidR="00736A8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րի) թույլտվության համար՝ </w:t>
      </w:r>
      <w:r w:rsidR="00956BC1" w:rsidRPr="001541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Pr="001541DB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B435B81" w14:textId="22737E15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5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վարչ</w:t>
      </w:r>
      <w:r w:rsidR="007B208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ական տարածքում հեղուկ վառելիքի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վաճառքի թույլտվության համար՝ օրա</w:t>
      </w:r>
      <w:r w:rsidR="00956BC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ցուցային տարվա համար՝ </w:t>
      </w:r>
      <w:r w:rsidR="00956BC1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երկու հարյուր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321A10D2" w14:textId="032D0488" w:rsidR="0040449A" w:rsidRPr="00A0382D" w:rsidRDefault="00A2538C" w:rsidP="00A0382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91282">
        <w:rPr>
          <w:rFonts w:ascii="GHEA Grapalat" w:hAnsi="GHEA Grapalat"/>
          <w:color w:val="000000"/>
          <w:lang w:val="hy-AM"/>
        </w:rPr>
        <w:t>6</w:t>
      </w:r>
      <w:r w:rsidR="00E33CC1" w:rsidRPr="00E91282">
        <w:rPr>
          <w:rFonts w:ascii="Cambria Math" w:hAnsi="Cambria Math" w:cs="Cambria Math"/>
          <w:color w:val="000000"/>
          <w:lang w:val="hy-AM"/>
        </w:rPr>
        <w:t>․</w:t>
      </w:r>
      <w:r w:rsidR="00E91282">
        <w:rPr>
          <w:rFonts w:ascii="GHEA Grapalat" w:hAnsi="GHEA Grapalat"/>
          <w:color w:val="000000"/>
          <w:lang w:val="hy-AM"/>
        </w:rPr>
        <w:t xml:space="preserve"> Հ</w:t>
      </w:r>
      <w:r w:rsidR="0040449A" w:rsidRPr="00A0382D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lang w:val="hy-AM"/>
        </w:rPr>
        <w:t>երկու 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2D042188" w14:textId="726F3E70" w:rsidR="0040449A" w:rsidRPr="00A0382D" w:rsidRDefault="00A2538C" w:rsidP="00A0382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382D">
        <w:rPr>
          <w:rFonts w:ascii="GHEA Grapalat" w:hAnsi="GHEA Grapalat"/>
          <w:color w:val="000000"/>
          <w:lang w:val="hy-AM"/>
        </w:rPr>
        <w:t>7</w:t>
      </w:r>
      <w:r w:rsidR="00E33CC1" w:rsidRPr="00A0382D">
        <w:rPr>
          <w:rFonts w:ascii="Cambria Math" w:hAnsi="Cambria Math" w:cs="Cambria Math"/>
          <w:lang w:val="hy-AM"/>
        </w:rPr>
        <w:t>․</w:t>
      </w:r>
      <w:r w:rsidR="00E91282">
        <w:rPr>
          <w:rFonts w:ascii="GHEA Grapalat" w:hAnsi="GHEA Grapalat"/>
          <w:color w:val="000000"/>
          <w:lang w:val="hy-AM"/>
        </w:rPr>
        <w:t xml:space="preserve"> Հ</w:t>
      </w:r>
      <w:r w:rsidR="0040449A" w:rsidRPr="00A0382D">
        <w:rPr>
          <w:rFonts w:ascii="GHEA Grapalat" w:hAnsi="GHEA Grapalat"/>
          <w:color w:val="000000"/>
          <w:lang w:val="hy-AM"/>
        </w:rPr>
        <w:t xml:space="preserve">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lang w:val="hy-AM"/>
        </w:rPr>
        <w:t>երկու 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12871EB3" w14:textId="1B7E01A2" w:rsidR="0040449A" w:rsidRPr="00A0382D" w:rsidRDefault="00A2538C" w:rsidP="00A0382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A0382D">
        <w:rPr>
          <w:rFonts w:ascii="GHEA Grapalat" w:hAnsi="GHEA Grapalat"/>
          <w:lang w:val="hy-AM"/>
        </w:rPr>
        <w:t>8</w:t>
      </w:r>
      <w:r w:rsidRPr="00A0382D">
        <w:rPr>
          <w:rFonts w:ascii="Cambria Math" w:hAnsi="Cambria Math" w:cs="Cambria Math"/>
          <w:lang w:val="hy-AM"/>
        </w:rPr>
        <w:t>․</w:t>
      </w:r>
      <w:r w:rsidR="0040449A" w:rsidRPr="00A0382D">
        <w:rPr>
          <w:rFonts w:ascii="GHEA Grapalat" w:hAnsi="GHEA Grapalat"/>
          <w:lang w:val="hy-AM"/>
        </w:rPr>
        <w:t xml:space="preserve"> </w:t>
      </w:r>
      <w:r w:rsidR="0040449A" w:rsidRPr="00A0382D">
        <w:rPr>
          <w:rFonts w:ascii="GHEA Grapalat" w:hAnsi="GHEA Grapalat"/>
          <w:color w:val="000000"/>
          <w:lang w:val="hy-AM"/>
        </w:rPr>
        <w:t xml:space="preserve">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64B166A8" w14:textId="53833E54" w:rsidR="0040449A" w:rsidRPr="00A0382D" w:rsidRDefault="00A2538C" w:rsidP="00A0382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91282">
        <w:rPr>
          <w:rFonts w:ascii="GHEA Grapalat" w:hAnsi="GHEA Grapalat"/>
          <w:color w:val="000000"/>
          <w:lang w:val="hy-AM"/>
        </w:rPr>
        <w:t>9</w:t>
      </w:r>
      <w:r w:rsidR="00132E3F" w:rsidRPr="00E91282">
        <w:rPr>
          <w:rFonts w:ascii="Cambria Math" w:hAnsi="Cambria Math" w:cs="Cambria Math"/>
          <w:lang w:val="hy-AM"/>
        </w:rPr>
        <w:t>․</w:t>
      </w:r>
      <w:r w:rsidR="0040449A" w:rsidRPr="00A0382D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այլ իրավական ակտերով սահմանված պահանջները բավարարող լցավորման յուրաքանչյուր կայանում բնական գազի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04BC2CA0" w14:textId="74EEDA07" w:rsidR="0040449A" w:rsidRPr="00A0382D" w:rsidRDefault="00A2538C" w:rsidP="00A0382D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E91282">
        <w:rPr>
          <w:rFonts w:ascii="GHEA Grapalat" w:hAnsi="GHEA Grapalat"/>
          <w:color w:val="000000"/>
          <w:lang w:val="hy-AM"/>
        </w:rPr>
        <w:t>10</w:t>
      </w:r>
      <w:r w:rsidR="00132E3F" w:rsidRPr="00E91282">
        <w:rPr>
          <w:rFonts w:ascii="Cambria Math" w:hAnsi="Cambria Math" w:cs="Cambria Math"/>
          <w:color w:val="000000"/>
          <w:lang w:val="hy-AM"/>
        </w:rPr>
        <w:t>․</w:t>
      </w:r>
      <w:r w:rsidR="0040449A" w:rsidRPr="00A0382D">
        <w:rPr>
          <w:rFonts w:ascii="GHEA Grapalat" w:hAnsi="GHEA Grapalat"/>
          <w:color w:val="000000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օրենքով և </w:t>
      </w:r>
      <w:r w:rsidR="0040449A" w:rsidRPr="00A0382D">
        <w:rPr>
          <w:rFonts w:ascii="GHEA Grapalat" w:hAnsi="GHEA Grapalat"/>
          <w:color w:val="000000"/>
          <w:lang w:val="hy-AM"/>
        </w:rPr>
        <w:lastRenderedPageBreak/>
        <w:t xml:space="preserve">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համար՝ օրացուցային տարվա համար՝ </w:t>
      </w:r>
      <w:r w:rsidR="00956BC1" w:rsidRPr="00A0382D">
        <w:rPr>
          <w:rFonts w:ascii="GHEA Grapalat" w:hAnsi="GHEA Grapalat"/>
          <w:b/>
          <w:color w:val="000000"/>
          <w:lang w:val="hy-AM"/>
        </w:rPr>
        <w:t>հարյուր հազար դրամ</w:t>
      </w:r>
      <w:r w:rsidR="00E91282">
        <w:rPr>
          <w:rFonts w:ascii="GHEA Grapalat" w:hAnsi="GHEA Grapalat"/>
          <w:color w:val="000000"/>
          <w:lang w:val="hy-AM"/>
        </w:rPr>
        <w:t>։</w:t>
      </w:r>
    </w:p>
    <w:p w14:paraId="4208B7B0" w14:textId="182E8C48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11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գտնվող խանութներում և կրպակներում հեղուկ վառելիքի, սեղմված բնական կամ հեղուկացված նավթային գազերի, մանրածախ առևտրի կետերում կամ ավտոմեքենաների տեխնիկական սպասարկման և նորոգման ծառայության օբյեկտներում տեխնիկական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հեղուկների վաճառքի թույլտվության համար՝ օրացուցային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տարվա համար՝ 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վաթսուն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37BB24D" w14:textId="41705BFE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12</w:t>
      </w:r>
      <w:r w:rsidRPr="00A0382D">
        <w:rPr>
          <w:rFonts w:ascii="Cambria Math" w:hAnsi="Cambria Math" w:cs="Cambria Math"/>
          <w:color w:val="000000"/>
          <w:sz w:val="24"/>
          <w:szCs w:val="24"/>
          <w:shd w:val="clear" w:color="auto" w:fill="FFFFFF"/>
          <w:lang w:val="hy-AM"/>
        </w:rPr>
        <w:t>․</w:t>
      </w:r>
      <w:r w:rsidR="0040449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Հայաստանի Հանրապետության կառավարության սահմանած ցանկում ընդգրկված սահմանամերձ և բարձրլեռնային բնակավայրերի տարածքում գտնվող խանութներում, կրպակներում, հեղուկ վառելիքի կամ սեղմված բնական կամ հեղուկացված նավթային կամ ածխաջրածնային գազերի մանրածախ առևտրի կետերում, ավտոլվացման կետերում, ավտոմեքենաների տեխնիկական սպասարկման և նորոգման ծառայության օբյեկտներում տնտեսավարողի գործունեության յուրաքանչյուր վայրում տեխնիկական հեղուկների վաճառքի թույլտվության համար՝ օրացուցային տարվա համար՝ </w:t>
      </w:r>
      <w:r w:rsidR="004E694D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քսան հազար դրամ</w:t>
      </w:r>
      <w:r w:rsidR="00E9128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։</w:t>
      </w:r>
    </w:p>
    <w:p w14:paraId="1B742C3C" w14:textId="416CE439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համար՝ 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52D1C1BA" w14:textId="7DF99FDF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14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B5E2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ոգելից և ալկոհոլային խմիչքների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5401E4CB" w14:textId="06201F38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ոգելից և ալկոհոլային խմիչքի վաճառքի թույլտվության համար՝ յուրաքանչյուր եռամսյակի համար՝</w:t>
      </w:r>
    </w:p>
    <w:p w14:paraId="67B332FC" w14:textId="7758543B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4E694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</w:t>
      </w:r>
      <w:r w:rsidR="002B09D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 հինգ հարյուր</w:t>
      </w:r>
      <w:r w:rsidR="004E694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60B7D552" w14:textId="12CE13EF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 վաճառքի</w:t>
      </w:r>
      <w:r w:rsidR="00AD756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տասնմեկ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դրամ,</w:t>
      </w:r>
    </w:p>
    <w:p w14:paraId="077F9A96" w14:textId="47250CEF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տասնյոթ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455A2045" w14:textId="4805720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դ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քսաներկու 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D94BE40" w14:textId="69ED23E9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 դրամ,</w:t>
      </w:r>
    </w:p>
    <w:p w14:paraId="3E536628" w14:textId="3F9FF639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082DC42" w14:textId="31870727" w:rsidR="0040449A" w:rsidRPr="00A0382D" w:rsidRDefault="00A2538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2)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ru-RU"/>
        </w:rPr>
        <w:t>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համար` յուրաքանչյուր եռամսյակի համար`</w:t>
      </w:r>
    </w:p>
    <w:p w14:paraId="57488DA4" w14:textId="23321FB4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56EB93A" w14:textId="2C1499D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տասնմեկ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53C4A815" w14:textId="44B2F69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ներսում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վաճառքի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կազմակերպման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GHEA Grapalat"/>
          <w:sz w:val="24"/>
          <w:szCs w:val="24"/>
          <w:lang w:val="hy-AM" w:eastAsia="ru-RU"/>
        </w:rPr>
        <w:t>դեպքում՝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տասնյոթ հազար </w:t>
      </w:r>
      <w:r w:rsidR="0040449A" w:rsidRPr="00A0382D">
        <w:rPr>
          <w:rFonts w:ascii="GHEA Grapalat" w:eastAsia="Times New Roman" w:hAnsi="GHEA Grapalat" w:cs="GHEA Grapalat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,</w:t>
      </w:r>
    </w:p>
    <w:p w14:paraId="3A710871" w14:textId="76DA336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F4086E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F4086E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F4086E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 քառակուսի մետր ընդհանուր մակերես ունեցող հիմնական և ոչ հիմանական շինությունների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 երկու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1D5DB696" w14:textId="2E070177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F3262AC" w14:textId="40B57DC5" w:rsidR="0040449A" w:rsidRPr="00A0382D" w:rsidRDefault="00F4086E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 քառակուսի մետր ընդհանուր մակերես ունեցող հիմնական և ոչ հիմանական շինությունների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ներսում վաճառքի կազմակերպման դեպքում՝ </w:t>
      </w:r>
      <w:r w:rsidR="00AD7563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հարյուր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3B003395" w14:textId="624A3D9B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 </w:t>
      </w:r>
      <w:r w:rsidR="00A2538C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15</w:t>
      </w:r>
      <w:r w:rsidR="00A2538C" w:rsidRPr="0058757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736A81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րավաբանական անձանց և անհատ ձեռնարկատերե</w:t>
      </w:r>
      <w:r w:rsidR="00FB5E2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րին համայնքի վարչական տարածքում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hAnsi="GHEA Grapalat"/>
          <w:sz w:val="24"/>
          <w:szCs w:val="24"/>
          <w:lang w:val="hy-AM"/>
        </w:rPr>
        <w:t>«Առևտրի և ծառայությունների մասին» օրենքով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բացօթյա առևտրի կազմակերպման թույլտվության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 յուրաքանչյուր օրվա համար՝ մեկ քառակուսի մետրի համար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հարյուր հիսուն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1C79F77" w14:textId="7D45F04A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16.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 վարչական տարածքում առևտրի, հանրային սննդի, զվարճանքի, շահումով խաղերի և վիճակախաղերի կազմակերպման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օբյեկտների,խաղատների և բաղնիքների (սաունաներին) ժամը 24.00-ից հետո աշխատելու թույլտվության համար՝ օրացուցային տարվա համար՝</w:t>
      </w:r>
    </w:p>
    <w:p w14:paraId="323D64E2" w14:textId="0DF22948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="00220537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ռևտրի օբյեկտների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հիսուն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85404F8" w14:textId="09F40322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հանրային սննդի և զվարճանքի օբյեկտների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4F9A40" w14:textId="08DCAA2D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բաղնիքների (սաունաների)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ADD6256" w14:textId="60201263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4)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խաղատների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մեկ միլիոն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A127C52" w14:textId="6BED971B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5)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շահումով խաղերի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2383207" w14:textId="508832F0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 xml:space="preserve">   6)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վիճակախաղերի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հիսուն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00E40107" w14:textId="10003095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F481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17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տարածքում, համայնքային կանոններին համապատասխան, հանրային սննդի կազմակերպման և իրացման թույլտվության համար տեղական տուրքը յուրաքանչյուր եռամսյակի համար սահմանվում է՝</w:t>
      </w:r>
    </w:p>
    <w:p w14:paraId="46080BC9" w14:textId="37AE74BE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հիմնական շինությունների ներսում՝</w:t>
      </w:r>
    </w:p>
    <w:p w14:paraId="3DB8F83C" w14:textId="421032BC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220537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C17EF68" w14:textId="5D48DEEC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D487246" w14:textId="7FF558A5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F54CD42" w14:textId="589C197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քսան հազար 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1353310D" w14:textId="5B760C11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հանրայ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երեսուն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798D6B8D" w14:textId="2E51F50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հիսուն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41640A64" w14:textId="259A897A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ոչ հիմնական շինությունների ներսում՝</w:t>
      </w:r>
    </w:p>
    <w:p w14:paraId="35EF7612" w14:textId="0F9F7BA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մինչև 26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մակերես ունեցող հարային սննդի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E915EEA" w14:textId="290BEFDC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բ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26-ից մինչև 50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9F310B2" w14:textId="614D9A6B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գ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50-ից մինչև 100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չորս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2CD466C4" w14:textId="3B9499E3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574BF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</w:t>
      </w:r>
      <w:r w:rsidR="00574BF3"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="00574BF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100-ից մինչև 200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ութ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6B772878" w14:textId="38660FF4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ե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200-ից մինչև 500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հանրային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58776F" w14:textId="61E97286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զ</w:t>
      </w:r>
      <w:r w:rsidRPr="00A0382D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500 և ավելի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քառակուսի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մետր ընդհանուր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մակերես ունեցող հարային սննդի օբյեկտի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քսանհինգ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6F7923D3" w14:textId="7170899D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18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վագանու սահմանած կարգին ու պայմաններին համապատասխան համայնքի վարչական տարածքում արտաքին գովազդ տեղադրելու թույլտվության համար, բացառությամբ միջպետական ու հանրապետական նշանակության ավտոմոբիլային ճանապարհների օտարման շերտերում և պաշտպանական գոտիներում տեղադրվող գովազդների թույլտվությունների, յուրաքանչյուր ամիսը մեկ քառակուսի մետրի համար՝</w:t>
      </w:r>
    </w:p>
    <w:p w14:paraId="156050EA" w14:textId="77CA565E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ալկոհոլային սպիրտի պարունակությունը մինչև 20 ծավալային տոկոս արտադրանք գովազդո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B0CCCD8" w14:textId="2E3CE38E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թունդ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ալկոհոլային (սպիրտի պարունակությունը 20 և ավելի ծավալային տոկոս) արտադրանք գովազդո</w:t>
      </w:r>
      <w:r w:rsidR="00531D09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ղ արտաքին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51B37E9" w14:textId="2038913B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սոցիալական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զրո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203CBD63" w14:textId="6937BFA0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այլ արտաքին գովազդի համար՝ </w:t>
      </w:r>
      <w:r w:rsidR="00531D09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հազար հինգ հարյուր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3A4D57" w14:textId="104D6D1B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դատարկ գովազդային վահանակների համար՝ համայնքի վարչական տարածքում այլ արտաքին գովազդ տեղադրելու թույլտվության համար սահմանված տուրքի 25% -ի չափով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</w:p>
    <w:p w14:paraId="38B5DC4C" w14:textId="55F115C1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6)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եթե արտաքին գովազդ տարածող գովազդակիրը տեղաբաշխել և տարածել է իր կազմակերպության գովազդը՝ համայնքի վարչական տարածքում այլ արտաքին գովազդ տեղադրելու թույլտվության համար սահմանված տուրքի 10%- ի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չափով։</w:t>
      </w:r>
    </w:p>
    <w:p w14:paraId="33D11358" w14:textId="70261844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19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Հայաստանի  Հանրապետության  համայնքների կամ համայնքի կազմում ընդգրկված բնակավայրերի խորհրդանիշերը (զինանշան, անվանում</w:t>
      </w:r>
      <w:r w:rsidR="00A0382D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ը) 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որպես օրենքով գրանցված ապրանքային նշան, ապրանքների արտադրության, աշխատանքների կատարման, ծառայությունների մատուցման գործընթացներում, ինչպես նաև ֆիրմային անվանումներում օգտագործելու թույլտվության համար օրացուցային տարվա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մեկ հարյուր հազար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76DFF899" w14:textId="42EA7DC1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մարդատար-տաքսու (բացառությամբ երթուղային տաքսիների՝ միկրոավտոբուսների) ծառայություն իրականացնելու թույլտվության համար՝ օրացուցային տարում յուրաքանչյուր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մեքենայի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հազար</w:t>
      </w:r>
      <w:r w:rsidR="00E9128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դրամ։</w:t>
      </w:r>
    </w:p>
    <w:p w14:paraId="0950F96D" w14:textId="4BCEB15C" w:rsidR="0040449A" w:rsidRPr="00A0382D" w:rsidRDefault="005B60E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21</w:t>
      </w:r>
      <w:r w:rsidR="00EA3B4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քաղաքացիական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հոգեհանգստի (հրաժեշտի) ծիսակատարության ծառայությունների իրականացման և (կամ) մատուցման թույլտվության համար՝ օրացուցային տարվա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027D772F" w14:textId="03B439F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22</w:t>
      </w:r>
      <w:r w:rsidR="00EA3B4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վարչական տարածքում մասնավոր գերեզմանատան կազմակերպման և շահագործման</w:t>
      </w:r>
      <w:r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թույլտվության համար՝ օրացուցային տարվա համար՝</w:t>
      </w:r>
    </w:p>
    <w:p w14:paraId="2251FC79" w14:textId="1E349B98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3 հա-ից մինչև 5 հա մակերես ունեցող գերեզմանատների համար՝ </w:t>
      </w:r>
      <w:r w:rsidR="005B60E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երկու միլիոն հինգ հարյուր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դրամ,</w:t>
      </w:r>
    </w:p>
    <w:p w14:paraId="3E4F82DB" w14:textId="2BE35430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5 հա-ից մինչև 7 հա մակերես ունեցող գերեզմանատների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հինգ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0B5BCE53" w14:textId="0C92C376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7 հա –ից մինչև 10 հա մակերես ունեցող գերեզմանատների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յոթ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C06F38F" w14:textId="0E882D04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10 հա-ից</w:t>
      </w:r>
      <w:r w:rsidR="0040449A" w:rsidRPr="00A0382D">
        <w:rPr>
          <w:rFonts w:ascii="Courier New" w:eastAsia="Times New Roman" w:hAnsi="Courier New" w:cs="Courier New"/>
          <w:sz w:val="24"/>
          <w:szCs w:val="24"/>
          <w:lang w:val="hy-AM" w:eastAsia="ru-RU"/>
        </w:rPr>
        <w:t>  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ավել մակերես ունեցող գերեզմանատների համար՝ 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տաս</w:t>
      </w:r>
      <w:r w:rsidR="00A0382D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ը</w:t>
      </w:r>
      <w:r w:rsidR="00EC77BB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միլիոն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:</w:t>
      </w:r>
    </w:p>
    <w:p w14:paraId="11BA91A3" w14:textId="59829014" w:rsidR="0040449A" w:rsidRPr="00A0382D" w:rsidRDefault="00F5578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23</w:t>
      </w:r>
      <w:r w:rsidR="00EA3B4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ամայնքի տարածքում սահմանափակման ենթակա ծառայության օբյեկտի գործունեության թույլտվության համար՝</w:t>
      </w:r>
    </w:p>
    <w:p w14:paraId="3D71E824" w14:textId="6D919D05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1"/>
          <w:szCs w:val="21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կարաոկեի, դիսկոտեկի, բաղնիքի, սաունայի և շոգեբաղնիքի համար՝ օրացուցային տարվա համար` համայնքի վարչական տարածքում </w:t>
      </w:r>
      <w:r w:rsidR="00F55788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քսան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55E38352" w14:textId="125A8337" w:rsidR="0040449A" w:rsidRPr="00A0382D" w:rsidRDefault="00EA3B4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հեստապարային ակումբի համար՝ օրացուցային տարվա համար` համայնքի վարչական տարածքում </w:t>
      </w:r>
      <w:r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երեք հար</w:t>
      </w:r>
      <w:r w:rsidR="00F55788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յուր հազար</w:t>
      </w:r>
      <w:r w:rsidR="0040449A" w:rsidRPr="00A0382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դրամ</w:t>
      </w:r>
      <w:r w:rsidR="005B60E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431BD41" w14:textId="07337793" w:rsidR="0040449A" w:rsidRPr="00A0382D" w:rsidRDefault="005B60ED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24</w:t>
      </w:r>
      <w:r w:rsidR="00EA3B4A" w:rsidRPr="00A0382D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.</w:t>
      </w:r>
      <w:r w:rsidR="0040449A" w:rsidRPr="00A0382D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</w:t>
      </w:r>
      <w:r w:rsidR="0040449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ամայնքի տարածքում հանրային սննդի ծառայություն մատուցող անձանց՝ տվյալ օբյեկտին հարակից ընդհանուր օգտագործման տարածքներում ամառային (մայիսի   1-ից հոկտեմբերի 31-ը ներառյալ) և ձմեռային (նոյեմբերի 1-ից ապրիլի 30-ը ներառյալ) </w:t>
      </w:r>
      <w:r w:rsidR="0040449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սեզոններին հանրային սննդի ծառայության կազմակերպման թույլտվության համար՝ </w:t>
      </w:r>
      <w:r w:rsidR="001D6EF1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տաս</w:t>
      </w:r>
      <w:r w:rsidR="00A0382D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>ը</w:t>
      </w:r>
      <w:r w:rsidR="001D6EF1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հազար</w:t>
      </w:r>
      <w:r w:rsidR="0040449A" w:rsidRPr="00A0382D">
        <w:rPr>
          <w:rFonts w:ascii="GHEA Grapalat" w:hAnsi="GHEA Grapalat"/>
          <w:b/>
          <w:color w:val="000000"/>
          <w:sz w:val="24"/>
          <w:szCs w:val="24"/>
          <w:shd w:val="clear" w:color="auto" w:fill="FFFFFF"/>
          <w:lang w:val="hy-AM"/>
        </w:rPr>
        <w:t xml:space="preserve"> դրամ</w:t>
      </w:r>
      <w:r w:rsidR="0040449A" w:rsidRPr="00A0382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 մեկ քառակուսի մետրի համար:</w:t>
      </w:r>
    </w:p>
    <w:p w14:paraId="53361FA2" w14:textId="50045FFD" w:rsidR="0040449A" w:rsidRPr="00E91282" w:rsidRDefault="00017B0C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  <w:t xml:space="preserve">   </w:t>
      </w:r>
      <w:r w:rsidR="0055002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25</w:t>
      </w:r>
      <w:r w:rsidR="00721A18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  <w:r w:rsidR="0040449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</w:t>
      </w:r>
      <w:r w:rsidR="00A0382D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</w:t>
      </w:r>
      <w:r w:rsidR="0040449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մանել գոտիավորում համայնքի վարչական տարածքում գտնվող բնակավայրերի համար հետևյալ կերպ՝</w:t>
      </w:r>
    </w:p>
    <w:p w14:paraId="5E686C75" w14:textId="7D2CC5C9" w:rsidR="0040449A" w:rsidRPr="00E91282" w:rsidRDefault="00F5578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017B0C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574BF3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1)</w:t>
      </w:r>
      <w:r w:rsidR="0040449A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Երկրորդ գոտի-գյուղական բնակավայրեր</w:t>
      </w:r>
    </w:p>
    <w:p w14:paraId="67159FD7" w14:textId="2ED7C490" w:rsidR="0040449A" w:rsidRPr="00A0382D" w:rsidRDefault="00F5578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574BF3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գոտի-սահմանամերձ բնակավայրեր</w:t>
      </w:r>
    </w:p>
    <w:p w14:paraId="43A1E50E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4DD1DC8" w14:textId="00D0D3F3" w:rsidR="0040449A" w:rsidRPr="00A0382D" w:rsidRDefault="00574BF3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550024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26</w:t>
      </w:r>
      <w:r w:rsidR="0040449A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.   Սույն </w:t>
      </w:r>
      <w:r w:rsidR="00F6589C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հավելվածով</w:t>
      </w:r>
      <w:r w:rsidR="0040449A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սահմանված դրույքաչափերը հաշվարկել</w:t>
      </w:r>
      <w:r w:rsidR="00E91282" w:rsidRPr="00F658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</w:t>
      </w:r>
    </w:p>
    <w:p w14:paraId="21CC5760" w14:textId="1F9AFFFA" w:rsidR="0040449A" w:rsidRPr="00E91282" w:rsidRDefault="00721A1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E91282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Երկրոդ գոտի -0,5 գործակցի կիրառմամբ</w:t>
      </w:r>
      <w:r w:rsidR="00E91282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</w:p>
    <w:p w14:paraId="3740CFEC" w14:textId="70D70A17" w:rsidR="0040449A" w:rsidRPr="00A0382D" w:rsidRDefault="00721A18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  <w:r w:rsidR="00E91282" w:rsidRP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2)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Երրորդ գոտի -0,3 գործակցի կիրառմա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</w:t>
      </w:r>
      <w:r w:rsidR="0040449A" w:rsidRPr="00A0382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</w:t>
      </w:r>
      <w:r w:rsidR="00E9128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4C75669A" w14:textId="1E1BAD45" w:rsidR="0040449A" w:rsidRPr="00A0382D" w:rsidRDefault="0040449A" w:rsidP="00A0382D">
      <w:pPr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A0382D">
        <w:rPr>
          <w:rFonts w:ascii="GHEA Grapalat" w:hAnsi="GHEA Grapalat"/>
          <w:sz w:val="24"/>
          <w:szCs w:val="24"/>
          <w:lang w:val="hy-AM"/>
        </w:rPr>
        <w:t xml:space="preserve">   </w:t>
      </w:r>
      <w:r w:rsidR="00417648">
        <w:rPr>
          <w:rFonts w:ascii="GHEA Grapalat" w:hAnsi="GHEA Grapalat"/>
          <w:sz w:val="24"/>
          <w:szCs w:val="24"/>
          <w:lang w:val="hy-AM"/>
        </w:rPr>
        <w:t>27</w:t>
      </w:r>
      <w:r w:rsidRPr="00A0382D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  <w:r w:rsidRPr="00A0382D">
        <w:rPr>
          <w:rFonts w:ascii="GHEA Grapalat" w:hAnsi="GHEA Grapalat" w:cs="Cambria Math"/>
          <w:sz w:val="24"/>
          <w:szCs w:val="24"/>
          <w:lang w:val="hy-AM"/>
        </w:rPr>
        <w:t xml:space="preserve"> Սույն  </w:t>
      </w:r>
      <w:r w:rsidR="00F6589C">
        <w:rPr>
          <w:rFonts w:ascii="GHEA Grapalat" w:hAnsi="GHEA Grapalat" w:cs="Cambria Math"/>
          <w:sz w:val="24"/>
          <w:szCs w:val="24"/>
          <w:lang w:val="hy-AM"/>
        </w:rPr>
        <w:t>հավելվածով</w:t>
      </w:r>
      <w:r w:rsidRPr="00A0382D">
        <w:rPr>
          <w:rFonts w:ascii="GHEA Grapalat" w:hAnsi="GHEA Grapalat" w:cs="Cambria Math"/>
          <w:sz w:val="24"/>
          <w:szCs w:val="24"/>
          <w:lang w:val="hy-AM"/>
        </w:rPr>
        <w:t xml:space="preserve">  սահմանված դրույքաչափերը  Հայաստանի  Հանրապետության  կառավարության  սահմանված ցանկում  ընդգրկված  սահմանամերձ,  լեռնային  և  բարձրլեռնային  բնակավայրերի համար հաշվարկել 0,3 գործակցի  կիրառմամբ։</w:t>
      </w:r>
    </w:p>
    <w:p w14:paraId="4EEE01EE" w14:textId="77777777" w:rsidR="008120ED" w:rsidRPr="00A0382D" w:rsidRDefault="008120ED" w:rsidP="00A0382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A0382D">
        <w:rPr>
          <w:rFonts w:ascii="GHEA Grapalat" w:hAnsi="GHEA Grapalat" w:cs="Cambria Math"/>
          <w:sz w:val="24"/>
          <w:szCs w:val="24"/>
          <w:lang w:val="hy-AM"/>
        </w:rPr>
        <w:t xml:space="preserve"> </w:t>
      </w:r>
    </w:p>
    <w:p w14:paraId="1BCCD517" w14:textId="77777777" w:rsidR="0040449A" w:rsidRPr="00A0382D" w:rsidRDefault="0040449A" w:rsidP="00A0382D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1C178DBA" w14:textId="77777777" w:rsidR="0040449A" w:rsidRPr="00A0382D" w:rsidRDefault="0040449A" w:rsidP="00A0382D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8"/>
          <w:szCs w:val="28"/>
          <w:lang w:val="hy-AM" w:eastAsia="ru-RU"/>
        </w:rPr>
      </w:pPr>
    </w:p>
    <w:p w14:paraId="4EA4DF27" w14:textId="77777777" w:rsidR="0040449A" w:rsidRPr="00A0382D" w:rsidRDefault="0040449A" w:rsidP="00A0382D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82D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քարտուղար՝                                               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</w:t>
      </w:r>
      <w:r w:rsidR="00A35670" w:rsidRPr="00A0382D">
        <w:rPr>
          <w:rFonts w:ascii="GHEA Grapalat" w:hAnsi="GHEA Grapalat"/>
          <w:b/>
          <w:bCs/>
          <w:sz w:val="24"/>
          <w:szCs w:val="24"/>
          <w:lang w:val="en-US"/>
        </w:rPr>
        <w:t>.</w:t>
      </w:r>
      <w:r w:rsidR="00A35670" w:rsidRPr="00A0382D">
        <w:rPr>
          <w:rFonts w:ascii="GHEA Grapalat" w:hAnsi="GHEA Grapalat"/>
          <w:b/>
          <w:bCs/>
          <w:sz w:val="24"/>
          <w:szCs w:val="24"/>
          <w:lang w:val="hy-AM"/>
        </w:rPr>
        <w:t>Վարդանյան</w:t>
      </w:r>
    </w:p>
    <w:p w14:paraId="2611B90E" w14:textId="77777777" w:rsidR="00992535" w:rsidRPr="00A0382D" w:rsidRDefault="005271FB" w:rsidP="00A0382D">
      <w:pPr>
        <w:jc w:val="both"/>
        <w:rPr>
          <w:rFonts w:ascii="GHEA Grapalat" w:hAnsi="GHEA Grapalat"/>
        </w:rPr>
      </w:pPr>
    </w:p>
    <w:sectPr w:rsidR="00992535" w:rsidRPr="00A038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7574"/>
    <w:multiLevelType w:val="hybridMultilevel"/>
    <w:tmpl w:val="FA60015A"/>
    <w:lvl w:ilvl="0" w:tplc="3264A622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3739B"/>
    <w:multiLevelType w:val="hybridMultilevel"/>
    <w:tmpl w:val="B7523B70"/>
    <w:lvl w:ilvl="0" w:tplc="F9C0F9F4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CE136BC"/>
    <w:multiLevelType w:val="hybridMultilevel"/>
    <w:tmpl w:val="A002F85C"/>
    <w:lvl w:ilvl="0" w:tplc="3C6C6DB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B27"/>
    <w:rsid w:val="00017B0C"/>
    <w:rsid w:val="00047EBF"/>
    <w:rsid w:val="000C7999"/>
    <w:rsid w:val="0013074A"/>
    <w:rsid w:val="00132E3F"/>
    <w:rsid w:val="001541DB"/>
    <w:rsid w:val="001D6EF1"/>
    <w:rsid w:val="00220537"/>
    <w:rsid w:val="002B09D9"/>
    <w:rsid w:val="00303BA3"/>
    <w:rsid w:val="003D2BC0"/>
    <w:rsid w:val="0040449A"/>
    <w:rsid w:val="00417648"/>
    <w:rsid w:val="00431CD7"/>
    <w:rsid w:val="00447A53"/>
    <w:rsid w:val="0045446A"/>
    <w:rsid w:val="004571FB"/>
    <w:rsid w:val="00474B7C"/>
    <w:rsid w:val="004779B6"/>
    <w:rsid w:val="004E694D"/>
    <w:rsid w:val="00500B0E"/>
    <w:rsid w:val="005271FB"/>
    <w:rsid w:val="00531D09"/>
    <w:rsid w:val="00541334"/>
    <w:rsid w:val="00550024"/>
    <w:rsid w:val="0055005D"/>
    <w:rsid w:val="00561E75"/>
    <w:rsid w:val="00574BF3"/>
    <w:rsid w:val="00587574"/>
    <w:rsid w:val="005B60ED"/>
    <w:rsid w:val="005C62B5"/>
    <w:rsid w:val="005F481F"/>
    <w:rsid w:val="006260CC"/>
    <w:rsid w:val="00680240"/>
    <w:rsid w:val="006C1307"/>
    <w:rsid w:val="006D7901"/>
    <w:rsid w:val="00721A18"/>
    <w:rsid w:val="00736A81"/>
    <w:rsid w:val="007426F3"/>
    <w:rsid w:val="00770E77"/>
    <w:rsid w:val="007B208D"/>
    <w:rsid w:val="00800082"/>
    <w:rsid w:val="008120ED"/>
    <w:rsid w:val="008204F7"/>
    <w:rsid w:val="00865D65"/>
    <w:rsid w:val="008E7044"/>
    <w:rsid w:val="0092067F"/>
    <w:rsid w:val="00932685"/>
    <w:rsid w:val="00956BC1"/>
    <w:rsid w:val="009D690E"/>
    <w:rsid w:val="009F2090"/>
    <w:rsid w:val="009F30B6"/>
    <w:rsid w:val="00A0044A"/>
    <w:rsid w:val="00A0382D"/>
    <w:rsid w:val="00A2538C"/>
    <w:rsid w:val="00A35670"/>
    <w:rsid w:val="00A53768"/>
    <w:rsid w:val="00A647C4"/>
    <w:rsid w:val="00A873EE"/>
    <w:rsid w:val="00AC7FE3"/>
    <w:rsid w:val="00AD0BCA"/>
    <w:rsid w:val="00AD7563"/>
    <w:rsid w:val="00B05847"/>
    <w:rsid w:val="00B06BF1"/>
    <w:rsid w:val="00BA504F"/>
    <w:rsid w:val="00BD43DD"/>
    <w:rsid w:val="00C02A04"/>
    <w:rsid w:val="00C577B5"/>
    <w:rsid w:val="00C77739"/>
    <w:rsid w:val="00C81F84"/>
    <w:rsid w:val="00CA076D"/>
    <w:rsid w:val="00D051CD"/>
    <w:rsid w:val="00D11B27"/>
    <w:rsid w:val="00D53A16"/>
    <w:rsid w:val="00DC5B3D"/>
    <w:rsid w:val="00DF7BE6"/>
    <w:rsid w:val="00E01841"/>
    <w:rsid w:val="00E14B01"/>
    <w:rsid w:val="00E31F33"/>
    <w:rsid w:val="00E33CC1"/>
    <w:rsid w:val="00E91282"/>
    <w:rsid w:val="00EA3B4A"/>
    <w:rsid w:val="00EC77BB"/>
    <w:rsid w:val="00F132D4"/>
    <w:rsid w:val="00F4086E"/>
    <w:rsid w:val="00F55788"/>
    <w:rsid w:val="00F6589C"/>
    <w:rsid w:val="00FA5440"/>
    <w:rsid w:val="00FB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67B8B"/>
  <w15:docId w15:val="{6066EE63-000D-46B9-965D-41BF894A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49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39"/>
    <w:rsid w:val="00BD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CC"/>
    <w:rPr>
      <w:rFonts w:ascii="Segoe UI" w:hAnsi="Segoe UI" w:cs="Segoe UI"/>
      <w:sz w:val="18"/>
      <w:szCs w:val="18"/>
      <w:lang w:val="ru-RU"/>
    </w:rPr>
  </w:style>
  <w:style w:type="paragraph" w:styleId="ListParagraph">
    <w:name w:val="List Paragraph"/>
    <w:basedOn w:val="Normal"/>
    <w:uiPriority w:val="34"/>
    <w:qFormat/>
    <w:rsid w:val="00AC7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ED7F7-22F3-4E66-ACEA-EC750EF6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2824</Words>
  <Characters>16097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27</cp:revision>
  <cp:lastPrinted>2024-09-03T12:24:00Z</cp:lastPrinted>
  <dcterms:created xsi:type="dcterms:W3CDTF">2024-10-09T07:45:00Z</dcterms:created>
  <dcterms:modified xsi:type="dcterms:W3CDTF">2025-03-26T10:16:00Z</dcterms:modified>
</cp:coreProperties>
</file>